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гримерные зеркала.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2500 до 3200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текст для коммерческой страницы сайта простым языком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https://rosestar.ru/category/grimernyye-zerkala/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Текст обязательно должен быть структурированным, развернуто отвечающим на запросы пользователей. Обязательно используйте списки и подзаголовки.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Текстом вы должны мотивировать пользователя стать нашим клиентом. Убедите его в том, что он нашел то, что искал: надежный магазин, которому можно доверять и сделать заказ.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 ЧЕМ ПИСАТЬ: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Расскажите о том, что мы предлагаем купить на этой странице, какие товары, каких брендов, почему стоит их выбирать, как сделать заказ и т. д. А также укажите, что мы осуществляем доставку по Москве и всей России.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гримерное зеркало с лампочками (1)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зеркало гримерное с подсветкой (1)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гримерное зеркало купить (1)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гримерные (14)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зеркала (22)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цены (2)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лампочками (9)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ламп (1)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подсветкой (2)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покупку (1)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продажа (1)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москве (9)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освещение (1)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макияжа (2)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osestar.ru/category/grimernyye-zerka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